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168E" w14:textId="77777777" w:rsidR="00E52C65" w:rsidRPr="00DA7BDE" w:rsidRDefault="00E52C65" w:rsidP="00DA7BDE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70141A17" w14:textId="77777777" w:rsidR="00164C5A" w:rsidRPr="00164C5A" w:rsidRDefault="00164C5A" w:rsidP="00DA7BDE">
      <w:pPr>
        <w:suppressAutoHyphens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PARECER DA CORREGEDORIA</w:t>
      </w:r>
    </w:p>
    <w:p w14:paraId="6082852F" w14:textId="7CB8B611" w:rsidR="00164C5A" w:rsidRPr="00DA7BDE" w:rsidRDefault="00164C5A" w:rsidP="00DA7BD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PROCESSO Nº: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</w:t>
      </w:r>
      <w:r w:rsidR="00DA7BDE">
        <w:rPr>
          <w:rFonts w:ascii="Times New Roman" w:eastAsia="Times New Roman" w:hAnsi="Times New Roman" w:cs="Times New Roman"/>
          <w:lang w:eastAsia="pt-BR"/>
        </w:rPr>
        <w:t>01-2026</w:t>
      </w:r>
    </w:p>
    <w:p w14:paraId="4742B1C2" w14:textId="77777777" w:rsidR="00164C5A" w:rsidRPr="00DA7BDE" w:rsidRDefault="00164C5A" w:rsidP="00DA7BD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INTERESSADO: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Corregedoria da Câmara Municipal de Blumenau </w:t>
      </w:r>
    </w:p>
    <w:p w14:paraId="4E39E8E7" w14:textId="0A3C52D7" w:rsidR="00164C5A" w:rsidRPr="00164C5A" w:rsidRDefault="00164C5A" w:rsidP="00DA7BD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ASSUNTO: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Análise de denúncia por quebra de decoro parlamentar contra o Vereador Almir Vieira.</w:t>
      </w:r>
    </w:p>
    <w:p w14:paraId="539DA09B" w14:textId="77777777" w:rsidR="00DA7BDE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EA8CC33" w14:textId="552DA847" w:rsidR="00164C5A" w:rsidRPr="00164C5A" w:rsidRDefault="00164C5A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I - RELATÓRIO</w:t>
      </w:r>
    </w:p>
    <w:p w14:paraId="390DFBB5" w14:textId="77777777" w:rsidR="00DA7BDE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CAE71AE" w14:textId="61273AF7" w:rsidR="00164C5A" w:rsidRPr="00164C5A" w:rsidRDefault="00164C5A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Trata-se de análise de denúncia formulada pelo Sr. Odair Tramontin, eleitor deste município, em desfavor do Vereador Almir Vieira. A representação, protocolada em 04 de fevereiro de 2026, requer a abertura de processo de cassação de mandato por suposta quebra de decoro parlamentar.</w:t>
      </w:r>
    </w:p>
    <w:p w14:paraId="4C2172CB" w14:textId="77777777" w:rsidR="00DA7BDE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B4C000B" w14:textId="687E30C2" w:rsidR="00164C5A" w:rsidRDefault="00164C5A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O denunciante fundamenta seu pedido nos fatos amplamente noticiados relacionados à prisão em flagrante do referido vereador no âmbito da </w:t>
      </w:r>
      <w:r w:rsidRPr="00164C5A">
        <w:rPr>
          <w:rFonts w:ascii="Times New Roman" w:eastAsia="Times New Roman" w:hAnsi="Times New Roman" w:cs="Times New Roman"/>
          <w:i/>
          <w:iCs/>
          <w:lang w:eastAsia="pt-BR"/>
        </w:rPr>
        <w:t xml:space="preserve">"Operação </w:t>
      </w:r>
      <w:proofErr w:type="spellStart"/>
      <w:r w:rsidRPr="00164C5A">
        <w:rPr>
          <w:rFonts w:ascii="Times New Roman" w:eastAsia="Times New Roman" w:hAnsi="Times New Roman" w:cs="Times New Roman"/>
          <w:i/>
          <w:iCs/>
          <w:lang w:eastAsia="pt-BR"/>
        </w:rPr>
        <w:t>Happy</w:t>
      </w:r>
      <w:proofErr w:type="spellEnd"/>
      <w:r w:rsidRPr="00164C5A">
        <w:rPr>
          <w:rFonts w:ascii="Times New Roman" w:eastAsia="Times New Roman" w:hAnsi="Times New Roman" w:cs="Times New Roman"/>
          <w:i/>
          <w:iCs/>
          <w:lang w:eastAsia="pt-BR"/>
        </w:rPr>
        <w:t xml:space="preserve"> Nation"</w:t>
      </w:r>
      <w:r w:rsidRPr="00164C5A">
        <w:rPr>
          <w:rFonts w:ascii="Times New Roman" w:eastAsia="Times New Roman" w:hAnsi="Times New Roman" w:cs="Times New Roman"/>
          <w:lang w:eastAsia="pt-BR"/>
        </w:rPr>
        <w:t>, que investiga, em tese, crimes de lavagem de capitais, corrupção e "</w:t>
      </w:r>
      <w:proofErr w:type="spellStart"/>
      <w:r w:rsidRPr="00164C5A">
        <w:rPr>
          <w:rFonts w:ascii="Times New Roman" w:eastAsia="Times New Roman" w:hAnsi="Times New Roman" w:cs="Times New Roman"/>
          <w:lang w:eastAsia="pt-BR"/>
        </w:rPr>
        <w:t>rachadinha</w:t>
      </w:r>
      <w:proofErr w:type="spellEnd"/>
      <w:r w:rsidRPr="00164C5A">
        <w:rPr>
          <w:rFonts w:ascii="Times New Roman" w:eastAsia="Times New Roman" w:hAnsi="Times New Roman" w:cs="Times New Roman"/>
          <w:lang w:eastAsia="pt-BR"/>
        </w:rPr>
        <w:t>", práticas que estariam diretamente ligadas ao exercício do mandato.</w:t>
      </w:r>
    </w:p>
    <w:p w14:paraId="6D20ECAB" w14:textId="77777777" w:rsidR="00DA7BDE" w:rsidRPr="00164C5A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DAA8C0D" w14:textId="77777777" w:rsidR="00164C5A" w:rsidRDefault="00164C5A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A denúncia aponta que tais condutas ferem a dignidade do cargo e a credibilidade do Poder Legislativo Municipal, enquadrando-se nas hipóteses de falta de decoro parlamentar previstas no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art. 217 do Regimento Interno desta Casa Legislativa e no Decreto-Lei nº 201/1967</w:t>
      </w:r>
      <w:r w:rsidRPr="00164C5A">
        <w:rPr>
          <w:rFonts w:ascii="Times New Roman" w:eastAsia="Times New Roman" w:hAnsi="Times New Roman" w:cs="Times New Roman"/>
          <w:lang w:eastAsia="pt-BR"/>
        </w:rPr>
        <w:t>.</w:t>
      </w:r>
    </w:p>
    <w:p w14:paraId="42D1A687" w14:textId="77777777" w:rsidR="00DA7BDE" w:rsidRPr="00164C5A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CB9155" w14:textId="77777777" w:rsidR="00164C5A" w:rsidRDefault="00164C5A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Após o recebimento, a denúncia foi objeto de análise pela Procuradoria-Geral desta Câmara, que, no Memorando CMB/PG/Nº 03/2026, exarou parecer sobre os aspectos legais e regimentais, opinando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pela necessidade de análise prévia e parecer desta Corregedoria</w:t>
      </w:r>
      <w:r w:rsidRPr="00164C5A">
        <w:rPr>
          <w:rFonts w:ascii="Times New Roman" w:eastAsia="Times New Roman" w:hAnsi="Times New Roman" w:cs="Times New Roman"/>
          <w:lang w:eastAsia="pt-BR"/>
        </w:rPr>
        <w:t>, nos termos do art. 215, I, do Regimento Interno.</w:t>
      </w:r>
    </w:p>
    <w:p w14:paraId="747D0A7D" w14:textId="77777777" w:rsidR="00DA7BDE" w:rsidRPr="00164C5A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935614" w14:textId="77777777" w:rsidR="00164C5A" w:rsidRDefault="00164C5A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É o breve relatório. Passo a opinar.</w:t>
      </w:r>
    </w:p>
    <w:p w14:paraId="68F356A8" w14:textId="77777777" w:rsidR="00DA7BDE" w:rsidRPr="00164C5A" w:rsidRDefault="00DA7BDE" w:rsidP="00DA7BDE">
      <w:pPr>
        <w:suppressAutoHyphens w:val="0"/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59FBD5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II - DA FUNDAMENTAÇÃO JURÍDICA</w:t>
      </w:r>
    </w:p>
    <w:p w14:paraId="59CCF2DD" w14:textId="77777777" w:rsidR="00DA7BDE" w:rsidRPr="00164C5A" w:rsidRDefault="00DA7BDE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101EE78F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A presente análise cinge-se à verificação dos pressupostos de admissibilidade da denúncia, a fim de subsidiar a decisão da Mesa Diretora quanto ao seu encaminhamento à Comissão de Ética e Decoro Parlamentar.</w:t>
      </w:r>
    </w:p>
    <w:p w14:paraId="2FD78CE1" w14:textId="77777777" w:rsidR="00DA7BDE" w:rsidRPr="00164C5A" w:rsidRDefault="00DA7BDE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0CA60FE0" w14:textId="77777777" w:rsidR="00164C5A" w:rsidRP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1. Da Competência e do Procedimento Regimental</w:t>
      </w:r>
    </w:p>
    <w:p w14:paraId="59BBBD52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lastRenderedPageBreak/>
        <w:t xml:space="preserve">Conforme bem delineado pela Procuradoria-Geral, o trâmite para apuração de quebra de decoro parlamentar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tem início com a análise prévia desta Corregedoria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. O art. 215, I, do Regimento Interno estabelece que compete ao Corregedor promover a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"análise prévia e encaminhamento de parecer, se for o caso, à Mesa Diretora"</w:t>
      </w:r>
      <w:r w:rsidRPr="00164C5A">
        <w:rPr>
          <w:rFonts w:ascii="Times New Roman" w:eastAsia="Times New Roman" w:hAnsi="Times New Roman" w:cs="Times New Roman"/>
          <w:lang w:eastAsia="pt-BR"/>
        </w:rPr>
        <w:t>.</w:t>
      </w:r>
    </w:p>
    <w:p w14:paraId="24A75853" w14:textId="77777777" w:rsidR="00A95F16" w:rsidRPr="00164C5A" w:rsidRDefault="00A95F1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125ACE6E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Este parecer preliminar não julga o mérito da acusação, mas avalia se a denúncia apresenta elementos mínimos que justifiquem a instauração de um procedimento apuratório mais aprofundado pela Comissão de Ética.</w:t>
      </w:r>
    </w:p>
    <w:p w14:paraId="2B644F2F" w14:textId="77777777" w:rsidR="00A95F16" w:rsidRPr="00164C5A" w:rsidRDefault="00A95F1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40AE0B0E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2. Da Justa Causa para a Admissibilidade</w:t>
      </w:r>
    </w:p>
    <w:p w14:paraId="76AA19ED" w14:textId="77777777" w:rsidR="00A95F16" w:rsidRPr="00164C5A" w:rsidRDefault="00A95F1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6FEB01A8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A denúncia apresentada descreve fatos de extrema gravidade: a prisão em flagrante de um parlamentar e a investigação por supostos atos de corrupção. Tais eventos, por sua natureza e repercussão pública,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geram um abalo imediato à imagem e à honra do Poder Legislativo, independentemente do desfecho do inquérito policial</w:t>
      </w:r>
      <w:r w:rsidRPr="00164C5A">
        <w:rPr>
          <w:rFonts w:ascii="Times New Roman" w:eastAsia="Times New Roman" w:hAnsi="Times New Roman" w:cs="Times New Roman"/>
          <w:lang w:eastAsia="pt-BR"/>
        </w:rPr>
        <w:t>.</w:t>
      </w:r>
    </w:p>
    <w:p w14:paraId="15981934" w14:textId="77777777" w:rsidR="00A95F16" w:rsidRPr="00164C5A" w:rsidRDefault="00A95F1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25AB879D" w14:textId="34FA83E9" w:rsidR="00164C5A" w:rsidRP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Decreto-Lei nº 201/1967</w:t>
      </w:r>
      <w:r w:rsidRPr="00164C5A">
        <w:rPr>
          <w:rFonts w:ascii="Times New Roman" w:eastAsia="Times New Roman" w:hAnsi="Times New Roman" w:cs="Times New Roman"/>
          <w:lang w:eastAsia="pt-BR"/>
        </w:rPr>
        <w:t>, que dispõe sobre a responsabilidade de prefeitos e vereadores, prevê em seu art. 7º, I</w:t>
      </w:r>
      <w:r w:rsidR="006C249A">
        <w:rPr>
          <w:rFonts w:ascii="Times New Roman" w:eastAsia="Times New Roman" w:hAnsi="Times New Roman" w:cs="Times New Roman"/>
          <w:lang w:eastAsia="pt-BR"/>
        </w:rPr>
        <w:t xml:space="preserve"> e III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a cassação do mandato por utilização do mandato para a prática de atos de corrupção ou de improbidade administrativa</w:t>
      </w:r>
      <w:r w:rsidR="006C249A">
        <w:rPr>
          <w:rFonts w:ascii="Times New Roman" w:eastAsia="Times New Roman" w:hAnsi="Times New Roman" w:cs="Times New Roman"/>
          <w:lang w:eastAsia="pt-BR"/>
        </w:rPr>
        <w:t>, como p</w:t>
      </w:r>
      <w:r w:rsidR="006C249A" w:rsidRPr="006C249A">
        <w:rPr>
          <w:rFonts w:ascii="Times New Roman" w:eastAsia="Times New Roman" w:hAnsi="Times New Roman" w:cs="Times New Roman"/>
          <w:lang w:eastAsia="pt-BR"/>
        </w:rPr>
        <w:t xml:space="preserve">roceder de modo incompatível com a dignidade, da Câmara ou faltar com o decoro na sua conduta </w:t>
      </w:r>
      <w:r w:rsidR="006C249A" w:rsidRPr="006C249A">
        <w:rPr>
          <w:rFonts w:ascii="Times New Roman" w:eastAsia="Times New Roman" w:hAnsi="Times New Roman" w:cs="Times New Roman"/>
          <w:lang w:eastAsia="pt-BR"/>
        </w:rPr>
        <w:t>pública</w:t>
      </w:r>
      <w:r w:rsidR="006C249A">
        <w:rPr>
          <w:rFonts w:ascii="Times New Roman" w:eastAsia="Times New Roman" w:hAnsi="Times New Roman" w:cs="Times New Roman"/>
          <w:lang w:eastAsia="pt-BR"/>
        </w:rPr>
        <w:t xml:space="preserve">. </w:t>
      </w:r>
      <w:r w:rsidRPr="00164C5A">
        <w:rPr>
          <w:rFonts w:ascii="Times New Roman" w:eastAsia="Times New Roman" w:hAnsi="Times New Roman" w:cs="Times New Roman"/>
          <w:lang w:eastAsia="pt-BR"/>
        </w:rPr>
        <w:t>A denúncia enquadra os fatos, em tese, nessa hipótese.</w:t>
      </w:r>
    </w:p>
    <w:p w14:paraId="12953B32" w14:textId="77777777" w:rsidR="006C249A" w:rsidRDefault="006C249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407E55FF" w14:textId="4FD752ED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A jurisprudência pátria é firme no sentido de que o controle judicial sobre processos de cassação de mandato se restringe à legalidade do procedimento, respeitando a autonomia da casa legislativa para julgar o mérito da quebra de decoro. </w:t>
      </w:r>
    </w:p>
    <w:p w14:paraId="58C04F53" w14:textId="77777777" w:rsidR="006C249A" w:rsidRPr="00164C5A" w:rsidRDefault="006C249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49B5E7CF" w14:textId="77777777" w:rsidR="00164C5A" w:rsidRPr="006C249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Ademais, é pacífico o entendimento de que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as instâncias penal e político-administrativa são independentes.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A Câmara de Vereadores não precisa aguardar uma condenação criminal para apurar a responsabilidade ético-parlamentar de seus membros.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 xml:space="preserve">A análise política visa proteger a dignidade da instituição. </w:t>
      </w:r>
    </w:p>
    <w:p w14:paraId="5004DCE0" w14:textId="77777777" w:rsidR="006C249A" w:rsidRPr="00164C5A" w:rsidRDefault="006C249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8AD7AC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Os fatos narrados, portanto, constituem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indícios robustos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de conduta incompatível com o decoro parlamentar, configurando a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justa causa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necessária para a admissibilidade e prosseguimento da apuração.</w:t>
      </w:r>
    </w:p>
    <w:p w14:paraId="6BF6F753" w14:textId="77777777" w:rsidR="006C249A" w:rsidRPr="00164C5A" w:rsidRDefault="006C249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0380DBC5" w14:textId="77777777" w:rsidR="00164C5A" w:rsidRP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3. Do Rito Processual Aplicável</w:t>
      </w:r>
    </w:p>
    <w:p w14:paraId="2A7A874E" w14:textId="77777777" w:rsidR="00485F36" w:rsidRDefault="00485F3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017BD8D5" w14:textId="458CB5A5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O parecer da Procuradoria-Geral desta Casa acertadamente aponta que a definição da penalidade em tese aplicável é crucial para determinar o rito a ser seguido. Considerando que a denúncia requer a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cassação do mandato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, o procedimento a ser observado pela Comissão de Ética, caso a representação seja recebida pelo Plenário,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 xml:space="preserve">é o estabelecido no </w:t>
      </w:r>
      <w:r w:rsidR="00485F36" w:rsidRPr="00607403">
        <w:rPr>
          <w:rFonts w:ascii="Times New Roman" w:eastAsia="Times New Roman" w:hAnsi="Times New Roman" w:cs="Times New Roman"/>
          <w:b/>
          <w:bCs/>
          <w:lang w:eastAsia="pt-BR"/>
        </w:rPr>
        <w:t>art. 7, § 1º</w:t>
      </w:r>
      <w:r w:rsidR="00485F36">
        <w:rPr>
          <w:rFonts w:ascii="Times New Roman" w:eastAsia="Times New Roman" w:hAnsi="Times New Roman" w:cs="Times New Roman"/>
          <w:lang w:eastAsia="pt-BR"/>
        </w:rPr>
        <w:t xml:space="preserve"> que discorre </w:t>
      </w:r>
      <w:r w:rsidR="000E1636">
        <w:rPr>
          <w:rFonts w:ascii="Times New Roman" w:eastAsia="Times New Roman" w:hAnsi="Times New Roman" w:cs="Times New Roman"/>
          <w:lang w:eastAsia="pt-BR"/>
        </w:rPr>
        <w:t>que o</w:t>
      </w:r>
      <w:r w:rsidR="00485F36">
        <w:rPr>
          <w:rFonts w:ascii="Times New Roman" w:eastAsia="Times New Roman" w:hAnsi="Times New Roman" w:cs="Times New Roman"/>
          <w:lang w:eastAsia="pt-BR"/>
        </w:rPr>
        <w:t xml:space="preserve"> </w:t>
      </w:r>
      <w:r w:rsidR="000E1636">
        <w:rPr>
          <w:rFonts w:ascii="Times New Roman" w:eastAsia="Times New Roman" w:hAnsi="Times New Roman" w:cs="Times New Roman"/>
          <w:lang w:eastAsia="pt-BR"/>
        </w:rPr>
        <w:t xml:space="preserve">processo </w:t>
      </w:r>
      <w:r w:rsidR="000E1636" w:rsidRPr="00485F36">
        <w:rPr>
          <w:rFonts w:ascii="Times New Roman" w:eastAsia="Times New Roman" w:hAnsi="Times New Roman" w:cs="Times New Roman"/>
          <w:lang w:eastAsia="pt-BR"/>
        </w:rPr>
        <w:t>de</w:t>
      </w:r>
      <w:r w:rsidR="00485F36" w:rsidRPr="00485F36">
        <w:rPr>
          <w:rFonts w:ascii="Times New Roman" w:eastAsia="Times New Roman" w:hAnsi="Times New Roman" w:cs="Times New Roman"/>
          <w:lang w:eastAsia="pt-BR"/>
        </w:rPr>
        <w:t xml:space="preserve"> cassação de mandato de Vereador é, no que couber, o estabelecido no</w:t>
      </w:r>
      <w:r w:rsidR="00485F3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art. 5º do Decreto-Lei nº 201/1967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conforme Súmula Vinculante nº 46 do STF.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2A804ED" w14:textId="77777777" w:rsidR="00485F36" w:rsidRPr="00164C5A" w:rsidRDefault="00485F3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073A02B4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III - CONCLUSÃO E VOTO</w:t>
      </w:r>
    </w:p>
    <w:p w14:paraId="1689DB1E" w14:textId="77777777" w:rsidR="000E1636" w:rsidRPr="00164C5A" w:rsidRDefault="000E163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57866405" w14:textId="77777777" w:rsid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 xml:space="preserve">Diante do exposto, e considerando a gravidade dos fatos narrados na denúncia, a sua repercussão negativa para a imagem da Câmara Municipal de Blumenau e a presença de indícios de violação ao decoro parlamentar, </w:t>
      </w:r>
      <w:r w:rsidRPr="00164C5A">
        <w:rPr>
          <w:rFonts w:ascii="Times New Roman" w:eastAsia="Times New Roman" w:hAnsi="Times New Roman" w:cs="Times New Roman"/>
          <w:b/>
          <w:bCs/>
          <w:lang w:eastAsia="pt-BR"/>
        </w:rPr>
        <w:t>opino pela admissibilidade da denúncia</w:t>
      </w:r>
      <w:r w:rsidRPr="00164C5A">
        <w:rPr>
          <w:rFonts w:ascii="Times New Roman" w:eastAsia="Times New Roman" w:hAnsi="Times New Roman" w:cs="Times New Roman"/>
          <w:lang w:eastAsia="pt-BR"/>
        </w:rPr>
        <w:t xml:space="preserve"> apresentada por Odair Tramontin em face do Vereador Almir Vieira.</w:t>
      </w:r>
    </w:p>
    <w:p w14:paraId="5B8FD319" w14:textId="77777777" w:rsidR="000E1636" w:rsidRPr="00164C5A" w:rsidRDefault="000E1636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59B7F4BC" w14:textId="77777777" w:rsidR="00164C5A" w:rsidRP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Recomendo, assim, o encaminhamento deste parecer à Mesa Diretora, com a sugestão de que:</w:t>
      </w:r>
    </w:p>
    <w:p w14:paraId="0134BB73" w14:textId="3B60D7EE" w:rsidR="00164C5A" w:rsidRPr="00607403" w:rsidRDefault="00607403" w:rsidP="00607403">
      <w:pPr>
        <w:suppressAutoHyphens w:val="0"/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a) </w:t>
      </w:r>
      <w:r w:rsidR="00164C5A" w:rsidRPr="00164C5A">
        <w:rPr>
          <w:rFonts w:ascii="Times New Roman" w:eastAsia="Times New Roman" w:hAnsi="Times New Roman" w:cs="Times New Roman"/>
          <w:lang w:eastAsia="pt-BR"/>
        </w:rPr>
        <w:t xml:space="preserve">A Mesa Diretora, por sua vez, </w:t>
      </w:r>
      <w:r w:rsidR="00164C5A" w:rsidRPr="00164C5A">
        <w:rPr>
          <w:rFonts w:ascii="Times New Roman" w:eastAsia="Times New Roman" w:hAnsi="Times New Roman" w:cs="Times New Roman"/>
          <w:b/>
          <w:bCs/>
          <w:lang w:eastAsia="pt-BR"/>
        </w:rPr>
        <w:t>submeta a denúncia à deliberação do Plenário</w:t>
      </w:r>
      <w:r w:rsidR="00164C5A" w:rsidRPr="00164C5A">
        <w:rPr>
          <w:rFonts w:ascii="Times New Roman" w:eastAsia="Times New Roman" w:hAnsi="Times New Roman" w:cs="Times New Roman"/>
          <w:lang w:eastAsia="pt-BR"/>
        </w:rPr>
        <w:t>, para que este decida sobre seu recebimento, conforme o art. 5º, II, do Decreto-Lei nº 201/1967.</w:t>
      </w:r>
    </w:p>
    <w:p w14:paraId="35DD811A" w14:textId="77777777" w:rsidR="00607403" w:rsidRPr="00164C5A" w:rsidRDefault="00607403" w:rsidP="00607403">
      <w:pPr>
        <w:suppressAutoHyphens w:val="0"/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F07D483" w14:textId="7AE65B8C" w:rsidR="00164C5A" w:rsidRPr="00607403" w:rsidRDefault="00607403" w:rsidP="00607403">
      <w:pPr>
        <w:suppressAutoHyphens w:val="0"/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lang w:eastAsia="pt-BR"/>
        </w:rPr>
      </w:pPr>
      <w:r w:rsidRPr="00607403">
        <w:rPr>
          <w:rFonts w:ascii="Times New Roman" w:eastAsia="Times New Roman" w:hAnsi="Times New Roman" w:cs="Times New Roman"/>
          <w:lang w:eastAsia="pt-BR"/>
        </w:rPr>
        <w:t xml:space="preserve">b) </w:t>
      </w:r>
      <w:r w:rsidR="00164C5A" w:rsidRPr="00164C5A">
        <w:rPr>
          <w:rFonts w:ascii="Times New Roman" w:eastAsia="Times New Roman" w:hAnsi="Times New Roman" w:cs="Times New Roman"/>
          <w:lang w:eastAsia="pt-BR"/>
        </w:rPr>
        <w:t xml:space="preserve">Caso o Plenário receba a denúncia, seja a representação formalmente encaminhada à </w:t>
      </w:r>
      <w:r w:rsidR="00164C5A" w:rsidRPr="00164C5A">
        <w:rPr>
          <w:rFonts w:ascii="Times New Roman" w:eastAsia="Times New Roman" w:hAnsi="Times New Roman" w:cs="Times New Roman"/>
          <w:b/>
          <w:bCs/>
          <w:lang w:eastAsia="pt-BR"/>
        </w:rPr>
        <w:t>Comissão de Ética e Decoro Parlamentar</w:t>
      </w:r>
      <w:r w:rsidR="00164C5A" w:rsidRPr="00164C5A">
        <w:rPr>
          <w:rFonts w:ascii="Times New Roman" w:eastAsia="Times New Roman" w:hAnsi="Times New Roman" w:cs="Times New Roman"/>
          <w:lang w:eastAsia="pt-BR"/>
        </w:rPr>
        <w:t xml:space="preserve"> para a instauração do competente processo político-administrativo, assegurando-se ao denunciado o contraditório e a ampla defesa, observando-se o rito previsto no Decreto-Lei nº 201/1967.</w:t>
      </w:r>
    </w:p>
    <w:p w14:paraId="75CFE3E7" w14:textId="77777777" w:rsidR="00607403" w:rsidRPr="00164C5A" w:rsidRDefault="00607403" w:rsidP="00607403">
      <w:pPr>
        <w:suppressAutoHyphens w:val="0"/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708619" w14:textId="77777777" w:rsidR="00164C5A" w:rsidRPr="00607403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É o parecer.</w:t>
      </w:r>
    </w:p>
    <w:p w14:paraId="63492787" w14:textId="77777777" w:rsidR="00607403" w:rsidRPr="00164C5A" w:rsidRDefault="00607403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</w:p>
    <w:p w14:paraId="59D55096" w14:textId="77777777" w:rsidR="00164C5A" w:rsidRPr="00164C5A" w:rsidRDefault="00164C5A" w:rsidP="00DA7BDE">
      <w:pPr>
        <w:suppressAutoHyphens w:val="0"/>
        <w:spacing w:after="0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164C5A">
        <w:rPr>
          <w:rFonts w:ascii="Times New Roman" w:eastAsia="Times New Roman" w:hAnsi="Times New Roman" w:cs="Times New Roman"/>
          <w:lang w:eastAsia="pt-BR"/>
        </w:rPr>
        <w:t>Blumenau, 10 de fevereiro de 2026.</w:t>
      </w:r>
    </w:p>
    <w:p w14:paraId="01621749" w14:textId="77777777" w:rsidR="00BE07A9" w:rsidRPr="00607403" w:rsidRDefault="00BE07A9" w:rsidP="00E52C65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412B606" w14:textId="4F155B73" w:rsidR="00E52C65" w:rsidRPr="00607403" w:rsidRDefault="00E52C65" w:rsidP="00E52C65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07403">
        <w:rPr>
          <w:rFonts w:ascii="Times New Roman" w:eastAsia="Calibri" w:hAnsi="Times New Roman" w:cs="Times New Roman"/>
          <w:b/>
          <w:bCs/>
        </w:rPr>
        <w:t>FLÁVIO JOSE LINHARES</w:t>
      </w:r>
    </w:p>
    <w:p w14:paraId="334504DF" w14:textId="5553C19C" w:rsidR="00E52C65" w:rsidRPr="00607403" w:rsidRDefault="00607403" w:rsidP="00F732F6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607403">
        <w:rPr>
          <w:rFonts w:ascii="Times New Roman" w:eastAsia="Calibri" w:hAnsi="Times New Roman" w:cs="Times New Roman"/>
          <w:b/>
          <w:bCs/>
        </w:rPr>
        <w:t>Vereador Corregedor</w:t>
      </w:r>
    </w:p>
    <w:sectPr w:rsidR="00E52C65" w:rsidRPr="00607403" w:rsidSect="00E52C65">
      <w:headerReference w:type="default" r:id="rId8"/>
      <w:footerReference w:type="default" r:id="rId9"/>
      <w:pgSz w:w="11906" w:h="16838"/>
      <w:pgMar w:top="1588" w:right="1134" w:bottom="1418" w:left="1701" w:header="454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A6A5" w14:textId="77777777" w:rsidR="00B927BC" w:rsidRDefault="00B927BC" w:rsidP="003409E1">
      <w:pPr>
        <w:spacing w:after="0" w:line="240" w:lineRule="auto"/>
      </w:pPr>
      <w:r>
        <w:separator/>
      </w:r>
    </w:p>
  </w:endnote>
  <w:endnote w:type="continuationSeparator" w:id="0">
    <w:p w14:paraId="583E57BC" w14:textId="77777777" w:rsidR="00B927BC" w:rsidRDefault="00B927BC" w:rsidP="0034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65E5" w14:textId="77777777" w:rsidR="00284761" w:rsidRDefault="00284761">
    <w:pPr>
      <w:pStyle w:val="Rodap"/>
      <w:pBdr>
        <w:bottom w:val="single" w:sz="6" w:space="1" w:color="000000"/>
      </w:pBdr>
    </w:pPr>
  </w:p>
  <w:p w14:paraId="7916EEC2" w14:textId="7AF4F8F4" w:rsidR="00284761" w:rsidRPr="00343AFD" w:rsidRDefault="003409E1">
    <w:pPr>
      <w:pStyle w:val="Rodap"/>
      <w:jc w:val="center"/>
      <w:rPr>
        <w:sz w:val="16"/>
        <w:szCs w:val="16"/>
      </w:rPr>
    </w:pPr>
    <w:r w:rsidRPr="00343AFD">
      <w:rPr>
        <w:sz w:val="16"/>
        <w:szCs w:val="16"/>
      </w:rPr>
      <w:t>Rua XV de Novembro, nº 55, CEP: 89010-101 Centro – Blumenau /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5E46" w14:textId="77777777" w:rsidR="00B927BC" w:rsidRDefault="00B927BC" w:rsidP="003409E1">
      <w:pPr>
        <w:spacing w:after="0" w:line="240" w:lineRule="auto"/>
      </w:pPr>
      <w:r>
        <w:separator/>
      </w:r>
    </w:p>
  </w:footnote>
  <w:footnote w:type="continuationSeparator" w:id="0">
    <w:p w14:paraId="4A4FAFBE" w14:textId="77777777" w:rsidR="00B927BC" w:rsidRDefault="00B927BC" w:rsidP="0034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C0AD" w14:textId="77777777" w:rsidR="00284761" w:rsidRDefault="003409E1" w:rsidP="00C162D5">
    <w:pPr>
      <w:pStyle w:val="Cabealho"/>
      <w:pBdr>
        <w:bottom w:val="single" w:sz="12" w:space="11" w:color="000000"/>
      </w:pBdr>
      <w:tabs>
        <w:tab w:val="clear" w:pos="8504"/>
      </w:tabs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F1D15E7" wp14:editId="09DDFE9C">
          <wp:simplePos x="0" y="0"/>
          <wp:positionH relativeFrom="leftMargin">
            <wp:align>right</wp:align>
          </wp:positionH>
          <wp:positionV relativeFrom="paragraph">
            <wp:posOffset>-12065</wp:posOffset>
          </wp:positionV>
          <wp:extent cx="818515" cy="769620"/>
          <wp:effectExtent l="0" t="0" r="635" b="0"/>
          <wp:wrapTight wrapText="bothSides">
            <wp:wrapPolygon edited="0">
              <wp:start x="0" y="0"/>
              <wp:lineTo x="0" y="20851"/>
              <wp:lineTo x="21114" y="20851"/>
              <wp:lineTo x="21114" y="0"/>
              <wp:lineTo x="0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2D5">
      <w:rPr>
        <w:b/>
      </w:rPr>
      <w:t>CÂMARA MUNICIPAL DE BLUMENAU</w:t>
    </w:r>
  </w:p>
  <w:p w14:paraId="7785AF85" w14:textId="77777777" w:rsidR="00C162D5" w:rsidRDefault="00C162D5" w:rsidP="00C162D5">
    <w:pPr>
      <w:pStyle w:val="Cabealho"/>
      <w:pBdr>
        <w:bottom w:val="single" w:sz="12" w:space="11" w:color="000000"/>
      </w:pBdr>
      <w:tabs>
        <w:tab w:val="clear" w:pos="8504"/>
      </w:tabs>
      <w:jc w:val="center"/>
      <w:rPr>
        <w:b/>
      </w:rPr>
    </w:pPr>
    <w:r>
      <w:rPr>
        <w:b/>
      </w:rPr>
      <w:t>ESTADO DE SANTA CATARINA</w:t>
    </w:r>
  </w:p>
  <w:p w14:paraId="5EAB7920" w14:textId="6745CE0C" w:rsidR="00C162D5" w:rsidRDefault="00607403" w:rsidP="00C162D5">
    <w:pPr>
      <w:pStyle w:val="Cabealho"/>
      <w:pBdr>
        <w:bottom w:val="single" w:sz="12" w:space="11" w:color="000000"/>
      </w:pBdr>
      <w:tabs>
        <w:tab w:val="clear" w:pos="8504"/>
      </w:tabs>
      <w:jc w:val="center"/>
      <w:rPr>
        <w:b/>
      </w:rPr>
    </w:pPr>
    <w:r>
      <w:rPr>
        <w:b/>
      </w:rPr>
      <w:t>CORREGEDORIA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7E3"/>
    <w:multiLevelType w:val="multilevel"/>
    <w:tmpl w:val="965C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A7887"/>
    <w:multiLevelType w:val="multilevel"/>
    <w:tmpl w:val="D200D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41808"/>
    <w:multiLevelType w:val="hybridMultilevel"/>
    <w:tmpl w:val="32C4F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1A80"/>
    <w:multiLevelType w:val="hybridMultilevel"/>
    <w:tmpl w:val="C2CE1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8312A"/>
    <w:multiLevelType w:val="hybridMultilevel"/>
    <w:tmpl w:val="C78E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56C61"/>
    <w:multiLevelType w:val="multilevel"/>
    <w:tmpl w:val="13C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01646"/>
    <w:multiLevelType w:val="hybridMultilevel"/>
    <w:tmpl w:val="61042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98836">
    <w:abstractNumId w:val="2"/>
  </w:num>
  <w:num w:numId="2" w16cid:durableId="263154532">
    <w:abstractNumId w:val="3"/>
  </w:num>
  <w:num w:numId="3" w16cid:durableId="1778450884">
    <w:abstractNumId w:val="4"/>
  </w:num>
  <w:num w:numId="4" w16cid:durableId="1366980149">
    <w:abstractNumId w:val="6"/>
  </w:num>
  <w:num w:numId="5" w16cid:durableId="1325478260">
    <w:abstractNumId w:val="5"/>
  </w:num>
  <w:num w:numId="6" w16cid:durableId="355620061">
    <w:abstractNumId w:val="1"/>
  </w:num>
  <w:num w:numId="7" w16cid:durableId="79517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E1"/>
    <w:rsid w:val="000076CD"/>
    <w:rsid w:val="00015A07"/>
    <w:rsid w:val="00027D08"/>
    <w:rsid w:val="000302B6"/>
    <w:rsid w:val="00031451"/>
    <w:rsid w:val="00032D11"/>
    <w:rsid w:val="0005694A"/>
    <w:rsid w:val="00060427"/>
    <w:rsid w:val="00066157"/>
    <w:rsid w:val="000C3555"/>
    <w:rsid w:val="000C5A2A"/>
    <w:rsid w:val="000D6234"/>
    <w:rsid w:val="000E0963"/>
    <w:rsid w:val="000E1636"/>
    <w:rsid w:val="000E2F6B"/>
    <w:rsid w:val="000E66E2"/>
    <w:rsid w:val="0010403B"/>
    <w:rsid w:val="00133223"/>
    <w:rsid w:val="0013777F"/>
    <w:rsid w:val="00142FC5"/>
    <w:rsid w:val="00150E20"/>
    <w:rsid w:val="00152122"/>
    <w:rsid w:val="00164C5A"/>
    <w:rsid w:val="001B32AA"/>
    <w:rsid w:val="001C08FD"/>
    <w:rsid w:val="001C1CF5"/>
    <w:rsid w:val="001C602B"/>
    <w:rsid w:val="001D53D8"/>
    <w:rsid w:val="001E25A9"/>
    <w:rsid w:val="001E5DA2"/>
    <w:rsid w:val="001E6CDC"/>
    <w:rsid w:val="0021620A"/>
    <w:rsid w:val="00222F8A"/>
    <w:rsid w:val="002443B4"/>
    <w:rsid w:val="002574A0"/>
    <w:rsid w:val="00284761"/>
    <w:rsid w:val="002934B7"/>
    <w:rsid w:val="00293AD9"/>
    <w:rsid w:val="002D473B"/>
    <w:rsid w:val="002F6C3E"/>
    <w:rsid w:val="0030034E"/>
    <w:rsid w:val="003104B8"/>
    <w:rsid w:val="003409E1"/>
    <w:rsid w:val="003413FD"/>
    <w:rsid w:val="00343AFD"/>
    <w:rsid w:val="0038598F"/>
    <w:rsid w:val="00393F3C"/>
    <w:rsid w:val="003958EA"/>
    <w:rsid w:val="003963F7"/>
    <w:rsid w:val="00397757"/>
    <w:rsid w:val="003B4771"/>
    <w:rsid w:val="003C0A40"/>
    <w:rsid w:val="003C54A4"/>
    <w:rsid w:val="003E11CD"/>
    <w:rsid w:val="00400A1A"/>
    <w:rsid w:val="004032C2"/>
    <w:rsid w:val="004044E3"/>
    <w:rsid w:val="0040784E"/>
    <w:rsid w:val="004609FC"/>
    <w:rsid w:val="00485F36"/>
    <w:rsid w:val="00491B8D"/>
    <w:rsid w:val="004C6A73"/>
    <w:rsid w:val="004E69F6"/>
    <w:rsid w:val="004E7E8F"/>
    <w:rsid w:val="00501341"/>
    <w:rsid w:val="00515181"/>
    <w:rsid w:val="0054230B"/>
    <w:rsid w:val="005554D3"/>
    <w:rsid w:val="005616EB"/>
    <w:rsid w:val="00581429"/>
    <w:rsid w:val="005A1F19"/>
    <w:rsid w:val="005A56E5"/>
    <w:rsid w:val="005B38AF"/>
    <w:rsid w:val="005D2B1C"/>
    <w:rsid w:val="005D7E04"/>
    <w:rsid w:val="005E13B8"/>
    <w:rsid w:val="005E620A"/>
    <w:rsid w:val="00607403"/>
    <w:rsid w:val="006243D3"/>
    <w:rsid w:val="0062465E"/>
    <w:rsid w:val="00670C75"/>
    <w:rsid w:val="00672289"/>
    <w:rsid w:val="00673D35"/>
    <w:rsid w:val="006916A2"/>
    <w:rsid w:val="006C249A"/>
    <w:rsid w:val="006C3232"/>
    <w:rsid w:val="006C7191"/>
    <w:rsid w:val="006D1F9D"/>
    <w:rsid w:val="006D300C"/>
    <w:rsid w:val="006E4BEC"/>
    <w:rsid w:val="00743A4A"/>
    <w:rsid w:val="0074665A"/>
    <w:rsid w:val="00752662"/>
    <w:rsid w:val="00760985"/>
    <w:rsid w:val="00772BE5"/>
    <w:rsid w:val="00793D99"/>
    <w:rsid w:val="007C4E03"/>
    <w:rsid w:val="007E2689"/>
    <w:rsid w:val="007E60C9"/>
    <w:rsid w:val="007F3FFB"/>
    <w:rsid w:val="008045C0"/>
    <w:rsid w:val="0080693F"/>
    <w:rsid w:val="008174A3"/>
    <w:rsid w:val="00835F48"/>
    <w:rsid w:val="00843569"/>
    <w:rsid w:val="008502D6"/>
    <w:rsid w:val="0085231F"/>
    <w:rsid w:val="00874FAB"/>
    <w:rsid w:val="008C511A"/>
    <w:rsid w:val="008D484C"/>
    <w:rsid w:val="00902EFF"/>
    <w:rsid w:val="00914352"/>
    <w:rsid w:val="00932AC7"/>
    <w:rsid w:val="009434BB"/>
    <w:rsid w:val="00944287"/>
    <w:rsid w:val="009812D6"/>
    <w:rsid w:val="009868D1"/>
    <w:rsid w:val="00990C58"/>
    <w:rsid w:val="009B5ACE"/>
    <w:rsid w:val="009B7D40"/>
    <w:rsid w:val="009C40A5"/>
    <w:rsid w:val="009D04AB"/>
    <w:rsid w:val="009D2218"/>
    <w:rsid w:val="009D2FCA"/>
    <w:rsid w:val="00A051ED"/>
    <w:rsid w:val="00A05E7A"/>
    <w:rsid w:val="00A243BE"/>
    <w:rsid w:val="00A47504"/>
    <w:rsid w:val="00A70A3C"/>
    <w:rsid w:val="00A75604"/>
    <w:rsid w:val="00A95F16"/>
    <w:rsid w:val="00AB18F3"/>
    <w:rsid w:val="00AB7EEA"/>
    <w:rsid w:val="00AF12B2"/>
    <w:rsid w:val="00B21718"/>
    <w:rsid w:val="00B46BDD"/>
    <w:rsid w:val="00B50156"/>
    <w:rsid w:val="00B519D0"/>
    <w:rsid w:val="00B5608F"/>
    <w:rsid w:val="00B927BC"/>
    <w:rsid w:val="00BB206C"/>
    <w:rsid w:val="00BB5595"/>
    <w:rsid w:val="00BD2AE6"/>
    <w:rsid w:val="00BE07A9"/>
    <w:rsid w:val="00BE7189"/>
    <w:rsid w:val="00C162D5"/>
    <w:rsid w:val="00C34B0D"/>
    <w:rsid w:val="00C634ED"/>
    <w:rsid w:val="00C63CC1"/>
    <w:rsid w:val="00C77865"/>
    <w:rsid w:val="00CB76BD"/>
    <w:rsid w:val="00D111F9"/>
    <w:rsid w:val="00D15DAC"/>
    <w:rsid w:val="00D211D1"/>
    <w:rsid w:val="00D245C5"/>
    <w:rsid w:val="00D25D0E"/>
    <w:rsid w:val="00D32028"/>
    <w:rsid w:val="00D515C0"/>
    <w:rsid w:val="00D66B93"/>
    <w:rsid w:val="00D853B6"/>
    <w:rsid w:val="00D902C7"/>
    <w:rsid w:val="00D95E75"/>
    <w:rsid w:val="00DA3894"/>
    <w:rsid w:val="00DA7BDE"/>
    <w:rsid w:val="00DC4493"/>
    <w:rsid w:val="00DE6239"/>
    <w:rsid w:val="00E07D26"/>
    <w:rsid w:val="00E152A5"/>
    <w:rsid w:val="00E47A60"/>
    <w:rsid w:val="00E52C65"/>
    <w:rsid w:val="00E65E03"/>
    <w:rsid w:val="00E90D1C"/>
    <w:rsid w:val="00E92A69"/>
    <w:rsid w:val="00F0099B"/>
    <w:rsid w:val="00F062F5"/>
    <w:rsid w:val="00F160F6"/>
    <w:rsid w:val="00F459B5"/>
    <w:rsid w:val="00F47065"/>
    <w:rsid w:val="00F52EFF"/>
    <w:rsid w:val="00F6315F"/>
    <w:rsid w:val="00F732F6"/>
    <w:rsid w:val="00F800E0"/>
    <w:rsid w:val="00F80617"/>
    <w:rsid w:val="00F875CE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CDB59"/>
  <w15:chartTrackingRefBased/>
  <w15:docId w15:val="{96074D37-FA9E-47B8-B3CA-7C9C9BE4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E1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6C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171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409E1"/>
  </w:style>
  <w:style w:type="character" w:customStyle="1" w:styleId="RodapChar">
    <w:name w:val="Rodapé Char"/>
    <w:basedOn w:val="Fontepargpadro"/>
    <w:link w:val="Rodap"/>
    <w:uiPriority w:val="99"/>
    <w:qFormat/>
    <w:rsid w:val="003409E1"/>
  </w:style>
  <w:style w:type="character" w:customStyle="1" w:styleId="CorpodetextoChar">
    <w:name w:val="Corpo de texto Char"/>
    <w:basedOn w:val="Fontepargpadro"/>
    <w:link w:val="Corpodetexto"/>
    <w:qFormat/>
    <w:rsid w:val="003409E1"/>
  </w:style>
  <w:style w:type="paragraph" w:styleId="Corpodetexto">
    <w:name w:val="Body Text"/>
    <w:basedOn w:val="Normal"/>
    <w:link w:val="CorpodetextoChar"/>
    <w:rsid w:val="003409E1"/>
    <w:pPr>
      <w:spacing w:after="140" w:line="276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3409E1"/>
  </w:style>
  <w:style w:type="paragraph" w:styleId="Cabealho">
    <w:name w:val="header"/>
    <w:basedOn w:val="Normal"/>
    <w:link w:val="CabealhoChar"/>
    <w:uiPriority w:val="99"/>
    <w:unhideWhenUsed/>
    <w:rsid w:val="00340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3409E1"/>
  </w:style>
  <w:style w:type="paragraph" w:styleId="Rodap">
    <w:name w:val="footer"/>
    <w:basedOn w:val="Normal"/>
    <w:link w:val="RodapChar"/>
    <w:uiPriority w:val="99"/>
    <w:unhideWhenUsed/>
    <w:rsid w:val="00340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3409E1"/>
  </w:style>
  <w:style w:type="paragraph" w:customStyle="1" w:styleId="Contedodoquadro">
    <w:name w:val="Conteúdo do quadro"/>
    <w:basedOn w:val="Normal"/>
    <w:qFormat/>
    <w:rsid w:val="003409E1"/>
  </w:style>
  <w:style w:type="character" w:styleId="Hyperlink">
    <w:name w:val="Hyperlink"/>
    <w:basedOn w:val="Fontepargpadro"/>
    <w:uiPriority w:val="99"/>
    <w:unhideWhenUsed/>
    <w:rsid w:val="00C162D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7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F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52122"/>
    <w:rPr>
      <w:i/>
      <w:iCs/>
    </w:rPr>
  </w:style>
  <w:style w:type="character" w:styleId="Forte">
    <w:name w:val="Strong"/>
    <w:basedOn w:val="Fontepargpadro"/>
    <w:uiPriority w:val="22"/>
    <w:qFormat/>
    <w:rsid w:val="005013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217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C7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D418-1F72-4B97-AE4E-D658B9EF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Pereira de Andrade</dc:creator>
  <cp:keywords/>
  <dc:description/>
  <cp:lastModifiedBy>Alexandre Baumgratz</cp:lastModifiedBy>
  <cp:revision>11</cp:revision>
  <cp:lastPrinted>2025-09-16T16:03:00Z</cp:lastPrinted>
  <dcterms:created xsi:type="dcterms:W3CDTF">2026-02-10T20:08:00Z</dcterms:created>
  <dcterms:modified xsi:type="dcterms:W3CDTF">2026-02-10T20:26:00Z</dcterms:modified>
</cp:coreProperties>
</file>